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B95456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:rsidR="00B95456" w:rsidRPr="00B95456" w:rsidRDefault="00A41BBB" w:rsidP="00A04040">
      <w:pPr>
        <w:pStyle w:val="Bulleted1"/>
        <w:numPr>
          <w:ilvl w:val="0"/>
          <w:numId w:val="0"/>
        </w:numPr>
        <w:rPr>
          <w:lang w:val="fr-BE"/>
        </w:rPr>
      </w:pPr>
      <w:r w:rsidRPr="00A41BBB">
        <w:rPr>
          <w:lang w:val="fr-BE"/>
        </w:rPr>
        <w:t>Raccords à sertir pour des tuyaux en cuivre</w:t>
      </w:r>
      <w:r w:rsidR="00976D2C" w:rsidRPr="00976D2C">
        <w:rPr>
          <w:rFonts w:ascii="Helvetica 45 Light" w:hAnsi="Helvetica 45 Light"/>
          <w:sz w:val="20"/>
          <w:lang w:val="fr-BE" w:eastAsia="en-US"/>
        </w:rPr>
        <w:t xml:space="preserve"> </w:t>
      </w:r>
      <w:r w:rsidR="00976D2C" w:rsidRPr="00976D2C">
        <w:rPr>
          <w:lang w:val="fr-BE"/>
        </w:rPr>
        <w:t>destinés aux installations de gaz</w:t>
      </w:r>
      <w:r w:rsidRPr="00A41BBB">
        <w:rPr>
          <w:lang w:val="fr-BE"/>
        </w:rPr>
        <w:t>.  Les raccords en cuivre sont assemblés aux tuyaux selon un procédé de sertissage</w:t>
      </w:r>
      <w:r w:rsidR="00B95456">
        <w:rPr>
          <w:lang w:val="fr-BE"/>
        </w:rPr>
        <w:t>.</w:t>
      </w:r>
    </w:p>
    <w:p w:rsidR="008A5169" w:rsidRPr="00D06139" w:rsidRDefault="00B95456" w:rsidP="008A5169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Matériaux et caractéristiques</w:t>
      </w:r>
    </w:p>
    <w:p w:rsidR="00C74455" w:rsidRPr="00D06139" w:rsidRDefault="00B95456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Tuyaux</w:t>
      </w:r>
    </w:p>
    <w:p w:rsidR="005949A3" w:rsidRPr="00B95456" w:rsidRDefault="00A41BBB" w:rsidP="005949A3">
      <w:pPr>
        <w:pStyle w:val="Bulleted2"/>
        <w:numPr>
          <w:ilvl w:val="0"/>
          <w:numId w:val="0"/>
        </w:numPr>
        <w:rPr>
          <w:lang w:val="fr-BE"/>
        </w:rPr>
      </w:pPr>
      <w:r w:rsidRPr="00A41BBB">
        <w:rPr>
          <w:lang w:val="fr-BE"/>
        </w:rPr>
        <w:t>Les raccords peuvent être utilisés avec des tuyaux en cuivre sans soudure, conformes à la norme NBN EN 1057</w:t>
      </w:r>
      <w:r>
        <w:rPr>
          <w:lang w:val="fr-BE"/>
        </w:rPr>
        <w:t> :</w:t>
      </w:r>
    </w:p>
    <w:p w:rsidR="005949A3" w:rsidRPr="00B95456" w:rsidRDefault="005949A3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ab/>
      </w: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1559"/>
        <w:gridCol w:w="1559"/>
        <w:gridCol w:w="1560"/>
        <w:gridCol w:w="1559"/>
        <w:gridCol w:w="1559"/>
        <w:gridCol w:w="1560"/>
      </w:tblGrid>
      <w:tr w:rsidR="00A41BBB" w:rsidTr="000F0748">
        <w:tc>
          <w:tcPr>
            <w:tcW w:w="1559" w:type="dxa"/>
            <w:vMerge w:val="restart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  <w:tc>
          <w:tcPr>
            <w:tcW w:w="1559" w:type="dxa"/>
            <w:vMerge w:val="restart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Diameter (mm)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Wanddikte (mm)</w:t>
            </w:r>
          </w:p>
        </w:tc>
        <w:tc>
          <w:tcPr>
            <w:tcW w:w="4678" w:type="dxa"/>
            <w:gridSpan w:val="3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Sterkte</w:t>
            </w:r>
          </w:p>
        </w:tc>
      </w:tr>
      <w:tr w:rsidR="00A41BBB" w:rsidTr="000F0748">
        <w:tc>
          <w:tcPr>
            <w:tcW w:w="1559" w:type="dxa"/>
            <w:vMerge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59" w:type="dxa"/>
            <w:vMerge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Zacht (R220)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Half hard (R250)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Hard (R290)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18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20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22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25</w:t>
            </w:r>
          </w:p>
        </w:tc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28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32</w:t>
            </w:r>
          </w:p>
        </w:tc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35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40</w:t>
            </w:r>
          </w:p>
        </w:tc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42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54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59" w:type="dxa"/>
            <w:vMerge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65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76,1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80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88,9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100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108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2,5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</w:tbl>
    <w:p w:rsidR="008A5169" w:rsidRPr="00D06139" w:rsidRDefault="00B95456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Raccords</w:t>
      </w:r>
    </w:p>
    <w:p w:rsidR="00B95456" w:rsidRPr="00B95456" w:rsidRDefault="00A41BBB" w:rsidP="00B95456">
      <w:pPr>
        <w:pStyle w:val="Bulleted2"/>
        <w:numPr>
          <w:ilvl w:val="0"/>
          <w:numId w:val="0"/>
        </w:numPr>
        <w:rPr>
          <w:lang w:val="fr-BE"/>
        </w:rPr>
      </w:pPr>
      <w:r w:rsidRPr="00A41BBB">
        <w:rPr>
          <w:lang w:val="fr-BE"/>
        </w:rPr>
        <w:t>Les raccords à sertir sans filetage sont composés de cuivre-DHP (CW 024A) conformes à la norme NBN EN 1057. Les raccords à sertir avec filetage sont composés de bronze (CC 491K) conformes au norme NBN EN 1982</w:t>
      </w:r>
      <w:r w:rsidR="00B95456" w:rsidRPr="00B95456">
        <w:rPr>
          <w:lang w:val="fr-BE"/>
        </w:rPr>
        <w:t>.</w:t>
      </w:r>
    </w:p>
    <w:p w:rsidR="00B95456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Default="00D30542" w:rsidP="00F540A7">
      <w:pPr>
        <w:pStyle w:val="Bulleted2"/>
        <w:numPr>
          <w:ilvl w:val="0"/>
          <w:numId w:val="0"/>
        </w:numPr>
        <w:rPr>
          <w:lang w:val="fr-BE"/>
        </w:rPr>
      </w:pPr>
      <w:r>
        <w:rPr>
          <w:rFonts w:ascii="Helvetica 45 Light" w:hAnsi="Helvetica 45 Light"/>
          <w:color w:val="000000"/>
          <w:lang w:val="fr-BE"/>
        </w:rPr>
        <w:t xml:space="preserve">Les raccords à sertir </w:t>
      </w:r>
      <w:r w:rsidR="00BC453A">
        <w:rPr>
          <w:rFonts w:ascii="Helvetica 45 Light" w:hAnsi="Helvetica 45 Light"/>
          <w:color w:val="000000"/>
          <w:lang w:val="fr-BE"/>
        </w:rPr>
        <w:t xml:space="preserve">sont marqués en jaune et </w:t>
      </w:r>
      <w:r>
        <w:rPr>
          <w:rFonts w:ascii="Helvetica 45 Light" w:hAnsi="Helvetica 45 Light"/>
          <w:color w:val="000000"/>
          <w:lang w:val="fr-BE"/>
        </w:rPr>
        <w:t xml:space="preserve">possèdent un </w:t>
      </w:r>
      <w:r w:rsidRPr="00D30542">
        <w:rPr>
          <w:rFonts w:ascii="Helvetica 45 Light" w:hAnsi="Helvetica 45 Light"/>
          <w:color w:val="000000"/>
          <w:lang w:val="fr-BE"/>
        </w:rPr>
        <w:t xml:space="preserve">indicateur de sertissage (bague synthétique </w:t>
      </w:r>
      <w:r w:rsidR="00A41BBB">
        <w:rPr>
          <w:rFonts w:ascii="Helvetica 45 Light" w:hAnsi="Helvetica 45 Light"/>
          <w:color w:val="000000"/>
          <w:lang w:val="fr-BE"/>
        </w:rPr>
        <w:t>blanche</w:t>
      </w:r>
      <w:r w:rsidRPr="00D30542">
        <w:rPr>
          <w:rFonts w:ascii="Helvetica 45 Light" w:hAnsi="Helvetica 45 Light"/>
          <w:color w:val="000000"/>
          <w:lang w:val="fr-BE"/>
        </w:rPr>
        <w:t xml:space="preserve"> d’une épaisseur de 40 µm) qui se détache du raccord après le sertissage et qui s’ôte manuellement</w:t>
      </w:r>
      <w:r w:rsidR="00CA1667" w:rsidRPr="00D30542">
        <w:rPr>
          <w:lang w:val="fr-BE"/>
        </w:rPr>
        <w:t>.</w:t>
      </w:r>
    </w:p>
    <w:p w:rsidR="00A41BBB" w:rsidRPr="00D30542" w:rsidRDefault="00A41BBB" w:rsidP="00F540A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raccords à sertir </w:t>
      </w:r>
      <w:r w:rsidR="00A41BBB">
        <w:rPr>
          <w:lang w:val="fr-BE"/>
        </w:rPr>
        <w:t xml:space="preserve">jusqu’à diamètre 54 mm </w:t>
      </w:r>
      <w:r w:rsidRPr="00D30542">
        <w:rPr>
          <w:lang w:val="fr-BE"/>
        </w:rPr>
        <w:t xml:space="preserve">possèdent un </w:t>
      </w:r>
      <w:r w:rsidR="00BC453A" w:rsidRPr="00BC453A">
        <w:rPr>
          <w:lang w:val="fr-BE"/>
        </w:rPr>
        <w:t>O-ring jaune en HNBR</w:t>
      </w:r>
      <w:r w:rsidR="003C78B8" w:rsidRPr="003C78B8">
        <w:rPr>
          <w:lang w:val="fr-BE"/>
        </w:rPr>
        <w:t xml:space="preserve"> </w:t>
      </w:r>
      <w:r w:rsidRPr="00D30542">
        <w:rPr>
          <w:lang w:val="fr-BE"/>
        </w:rPr>
        <w:t>qui sert à un assemblage étanche du tuyau et du raccord à sertir</w:t>
      </w:r>
      <w:r w:rsidR="00F540A7" w:rsidRPr="00D30542">
        <w:rPr>
          <w:lang w:val="fr-BE"/>
        </w:rPr>
        <w:t>.</w:t>
      </w:r>
    </w:p>
    <w:p w:rsidR="00A41BBB" w:rsidRDefault="00A41BBB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Afin de protéger l’O-ring contre toute détérioration ou contamination, tous les raccords à sertir sont pourvus de bouchons de protection en PE, facilement détachables et réutilisables</w:t>
      </w:r>
      <w:r w:rsidR="00CA1667" w:rsidRPr="00D30542">
        <w:rPr>
          <w:lang w:val="fr-BE"/>
        </w:rPr>
        <w:t>.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lastRenderedPageBreak/>
        <w:tab/>
      </w:r>
    </w:p>
    <w:p w:rsidR="00AA5855" w:rsidRPr="00D30542" w:rsidRDefault="00D30542" w:rsidP="00886585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L’indicateur de sertissage et le bouchon de protection indiquent le diamètre du manchon de sertissage</w:t>
      </w:r>
      <w:r>
        <w:rPr>
          <w:lang w:val="fr-BE"/>
        </w:rPr>
        <w:t>.</w:t>
      </w:r>
    </w:p>
    <w:p w:rsidR="008B6BB6" w:rsidRPr="00D06139" w:rsidRDefault="00D30542" w:rsidP="00F0523A">
      <w:pPr>
        <w:pStyle w:val="Kop1"/>
        <w:numPr>
          <w:ilvl w:val="1"/>
          <w:numId w:val="18"/>
        </w:numPr>
        <w:spacing w:before="240"/>
        <w:ind w:left="0" w:firstLin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Assemblages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Tuyaux et raccords sont assemblés selon le procédé de sertissage.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Lors d’un seul sertissage, le raccord à sertir et le tuyau sont déformés à 2 endroits (niveaux</w:t>
      </w:r>
      <w:r>
        <w:rPr>
          <w:lang w:val="fr-BE"/>
        </w:rPr>
        <w:t>)</w:t>
      </w:r>
      <w:r w:rsidR="00CA1667" w:rsidRPr="00D30542">
        <w:rPr>
          <w:lang w:val="fr-BE"/>
        </w:rPr>
        <w:t>: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premier niveau: la déformation du raccord à sertir et du tuyau produit un verrouillage mécanique</w:t>
      </w:r>
      <w:r w:rsidR="00CA1667" w:rsidRPr="00D30542">
        <w:rPr>
          <w:lang w:val="fr-BE"/>
        </w:rPr>
        <w:t xml:space="preserve"> </w:t>
      </w: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deuxième niveau: par la déformation du raccord à sertir à hauteur de la collerette, en même temps que du O-ring extensible, l’étanchéité est durable</w:t>
      </w:r>
      <w:r w:rsidR="00CA1667" w:rsidRPr="00D30542">
        <w:rPr>
          <w:lang w:val="fr-BE"/>
        </w:rPr>
        <w:t xml:space="preserve"> 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Les raccordements à sertir ne peuvent être exécutés qu’avec des sertisseuses et des mâchoires de sertissage, ou des mordaches et des collerettes de sertissage, du fabricant des raccords à sertir, ou bien avec des sertisseuses et des mâchoires agrées par le fabricant des raccords à sertir.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5A598C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mâchoires de sertissage et les collerettes de sertissage laissent une empreinte </w:t>
      </w:r>
      <w:r w:rsidRPr="00D30542">
        <w:rPr>
          <w:lang w:val="fr-FR"/>
        </w:rPr>
        <w:t xml:space="preserve">sur les raccords sertis afin </w:t>
      </w:r>
      <w:r w:rsidRPr="00D30542">
        <w:rPr>
          <w:lang w:val="fr-BE"/>
        </w:rPr>
        <w:t>d’identifier les mâchoires et collerettes utilisées</w:t>
      </w:r>
      <w:r w:rsidR="00CA1667" w:rsidRPr="00D30542">
        <w:rPr>
          <w:lang w:val="fr-BE"/>
        </w:rPr>
        <w:t>.</w:t>
      </w:r>
    </w:p>
    <w:p w:rsidR="008B6BB6" w:rsidRPr="00D06139" w:rsidRDefault="00D30542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 du système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815"/>
        <w:gridCol w:w="4588"/>
      </w:tblGrid>
      <w:tr w:rsidR="00FD410F" w:rsidRPr="00CA4976" w:rsidTr="00D30542">
        <w:tc>
          <w:tcPr>
            <w:tcW w:w="4815" w:type="dxa"/>
          </w:tcPr>
          <w:p w:rsidR="00FD410F" w:rsidRDefault="00D30542" w:rsidP="008B6BB6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Pression d’utilisation maximale</w:t>
            </w:r>
          </w:p>
        </w:tc>
        <w:tc>
          <w:tcPr>
            <w:tcW w:w="4588" w:type="dxa"/>
          </w:tcPr>
          <w:p w:rsidR="00FD410F" w:rsidRPr="001C49B8" w:rsidRDefault="00D30542" w:rsidP="008B6BB6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>En fonction de l’application</w:t>
            </w:r>
            <w:r w:rsidR="001C49B8" w:rsidRPr="001C49B8">
              <w:rPr>
                <w:i/>
                <w:iCs/>
                <w:highlight w:val="yellow"/>
                <w:lang w:val="fr-BE"/>
              </w:rPr>
              <w:t xml:space="preserve"> (voir tableaux d’utilisation) </w:t>
            </w:r>
            <w:r w:rsidR="001C49B8" w:rsidRPr="001C49B8">
              <w:rPr>
                <w:i/>
                <w:iCs/>
                <w:highlight w:val="yellow"/>
                <w:vertAlign w:val="superscript"/>
                <w:lang w:val="fr-BE"/>
              </w:rPr>
              <w:t>(</w:t>
            </w:r>
            <w:r w:rsidR="00BC453A">
              <w:rPr>
                <w:i/>
                <w:iCs/>
                <w:highlight w:val="yellow"/>
                <w:vertAlign w:val="superscript"/>
                <w:lang w:val="fr-BE"/>
              </w:rPr>
              <w:t>1</w:t>
            </w:r>
            <w:r w:rsidR="001C49B8" w:rsidRPr="001C49B8">
              <w:rPr>
                <w:i/>
                <w:iCs/>
                <w:highlight w:val="yellow"/>
                <w:vertAlign w:val="superscript"/>
                <w:lang w:val="fr-BE"/>
              </w:rPr>
              <w:t>)</w:t>
            </w:r>
          </w:p>
        </w:tc>
      </w:tr>
      <w:tr w:rsidR="008B6BB6" w:rsidRPr="00CA4976" w:rsidTr="00D30542">
        <w:tc>
          <w:tcPr>
            <w:tcW w:w="4815" w:type="dxa"/>
          </w:tcPr>
          <w:p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Température de service</w:t>
            </w:r>
          </w:p>
        </w:tc>
        <w:tc>
          <w:tcPr>
            <w:tcW w:w="4588" w:type="dxa"/>
          </w:tcPr>
          <w:p w:rsidR="008B6BB6" w:rsidRPr="001C49B8" w:rsidRDefault="001C49B8" w:rsidP="008B6BB6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 xml:space="preserve">En fonction de l’application (voir tableaux d’utilisation) 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(</w:t>
            </w:r>
            <w:r w:rsidR="00BC453A">
              <w:rPr>
                <w:i/>
                <w:iCs/>
                <w:highlight w:val="yellow"/>
                <w:vertAlign w:val="superscript"/>
                <w:lang w:val="fr-BE"/>
              </w:rPr>
              <w:t>2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)</w:t>
            </w:r>
          </w:p>
        </w:tc>
      </w:tr>
      <w:tr w:rsidR="008B6BB6" w:rsidTr="00D30542">
        <w:tc>
          <w:tcPr>
            <w:tcW w:w="4815" w:type="dxa"/>
          </w:tcPr>
          <w:p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r>
              <w:t>Classe d’incendie</w:t>
            </w:r>
          </w:p>
        </w:tc>
        <w:tc>
          <w:tcPr>
            <w:tcW w:w="4588" w:type="dxa"/>
          </w:tcPr>
          <w:p w:rsidR="008B6BB6" w:rsidRDefault="00CA1667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A1 </w:t>
            </w:r>
            <w:r w:rsidR="00D30542">
              <w:t>selon</w:t>
            </w:r>
            <w:r>
              <w:t xml:space="preserve"> NBN EN 13501</w:t>
            </w:r>
          </w:p>
        </w:tc>
      </w:tr>
      <w:tr w:rsidR="00FD410F" w:rsidTr="00D30542">
        <w:tc>
          <w:tcPr>
            <w:tcW w:w="4815" w:type="dxa"/>
          </w:tcPr>
          <w:p w:rsidR="00FD410F" w:rsidRPr="00D30542" w:rsidRDefault="00D30542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D30542">
              <w:rPr>
                <w:lang w:val="fr-BE"/>
              </w:rPr>
              <w:t xml:space="preserve">Coeff. de dilatation thermique du tuyau </w:t>
            </w:r>
            <w:r w:rsidR="005A598C" w:rsidRPr="00D30542">
              <w:rPr>
                <w:lang w:val="fr-BE"/>
              </w:rPr>
              <w:t>(</w:t>
            </w:r>
            <w:r w:rsidR="005A598C" w:rsidRPr="005A598C">
              <w:rPr>
                <w:lang w:val="nl-BE"/>
              </w:rPr>
              <w:sym w:font="Symbol" w:char="F061"/>
            </w:r>
            <w:r w:rsidR="005A598C" w:rsidRPr="00D30542">
              <w:rPr>
                <w:lang w:val="fr-BE"/>
              </w:rPr>
              <w:t>)</w:t>
            </w:r>
          </w:p>
        </w:tc>
        <w:tc>
          <w:tcPr>
            <w:tcW w:w="4588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</w:t>
            </w:r>
            <w:r w:rsidR="005A598C">
              <w:t>0</w:t>
            </w:r>
            <w:r w:rsidR="00CA1667">
              <w:t>1</w:t>
            </w:r>
            <w:r w:rsidR="005658B7">
              <w:t>66</w:t>
            </w:r>
            <w:r w:rsidR="00CA1667">
              <w:t xml:space="preserve"> </w:t>
            </w:r>
            <w:r>
              <w:t>mm/mK</w:t>
            </w:r>
          </w:p>
        </w:tc>
      </w:tr>
    </w:tbl>
    <w:p w:rsidR="00FD410F" w:rsidRPr="00D06139" w:rsidRDefault="00D30542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FD410F" w:rsidRDefault="00D30542" w:rsidP="00FD410F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Selon les directives du fabricant</w:t>
      </w:r>
      <w:r w:rsidR="00BC453A">
        <w:rPr>
          <w:lang w:val="fr-BE"/>
        </w:rPr>
        <w:t xml:space="preserve"> et les spécifications de </w:t>
      </w:r>
      <w:r w:rsidR="00BC453A" w:rsidRPr="00BC453A">
        <w:rPr>
          <w:i/>
          <w:iCs/>
          <w:highlight w:val="yellow"/>
          <w:lang w:val="fr-BE"/>
        </w:rPr>
        <w:t>à compléter avec la norme rélévante</w:t>
      </w:r>
      <w:r w:rsidR="00BC453A" w:rsidRPr="001C49B8">
        <w:rPr>
          <w:i/>
          <w:iCs/>
          <w:highlight w:val="yellow"/>
          <w:lang w:val="fr-BE"/>
        </w:rPr>
        <w:t xml:space="preserve">) </w:t>
      </w:r>
      <w:r w:rsidR="00BC453A" w:rsidRPr="001C49B8">
        <w:rPr>
          <w:i/>
          <w:iCs/>
          <w:highlight w:val="yellow"/>
          <w:vertAlign w:val="superscript"/>
          <w:lang w:val="fr-BE"/>
        </w:rPr>
        <w:t>(</w:t>
      </w:r>
      <w:r w:rsidR="00BC453A">
        <w:rPr>
          <w:i/>
          <w:iCs/>
          <w:highlight w:val="yellow"/>
          <w:vertAlign w:val="superscript"/>
          <w:lang w:val="fr-BE"/>
        </w:rPr>
        <w:t>3</w:t>
      </w:r>
      <w:r w:rsidR="00BC453A" w:rsidRPr="001C49B8">
        <w:rPr>
          <w:i/>
          <w:iCs/>
          <w:highlight w:val="yellow"/>
          <w:vertAlign w:val="superscript"/>
          <w:lang w:val="fr-BE"/>
        </w:rPr>
        <w:t>)</w:t>
      </w:r>
      <w:r w:rsidR="00FD410F" w:rsidRPr="00D30542">
        <w:rPr>
          <w:lang w:val="fr-BE"/>
        </w:rPr>
        <w:t>.</w:t>
      </w:r>
    </w:p>
    <w:p w:rsidR="00D30542" w:rsidRDefault="00D30542" w:rsidP="00FD410F">
      <w:pPr>
        <w:pStyle w:val="Bulleted2"/>
        <w:numPr>
          <w:ilvl w:val="0"/>
          <w:numId w:val="0"/>
        </w:numPr>
        <w:rPr>
          <w:lang w:val="fr-BE"/>
        </w:rPr>
      </w:pPr>
    </w:p>
    <w:p w:rsidR="006B3B48" w:rsidRPr="00D30542" w:rsidRDefault="006B3B48" w:rsidP="006B3B48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Tous les raccords à sertir et les tuyaux doivent être protégés s’ils sont placés dans des dalles de béton, en chapes, en mortier</w:t>
      </w:r>
      <w:r w:rsidRPr="00D30542">
        <w:rPr>
          <w:lang w:val="fr-FR"/>
        </w:rPr>
        <w:t>,</w:t>
      </w:r>
      <w:r w:rsidRPr="00D30542">
        <w:rPr>
          <w:lang w:val="fr-BE"/>
        </w:rPr>
        <w:t xml:space="preserve"> dans des mûrs, ou quant à l’exposition à un environnement de fluides agressifs.</w:t>
      </w:r>
    </w:p>
    <w:p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Certificati</w:t>
      </w:r>
      <w:r w:rsidR="00D30542">
        <w:rPr>
          <w:rFonts w:ascii="Arial" w:hAnsi="Arial"/>
          <w:b/>
        </w:rPr>
        <w:t>on</w:t>
      </w:r>
    </w:p>
    <w:p w:rsidR="008A5169" w:rsidRDefault="00D30542" w:rsidP="0069129C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 système satisfait aux exigences </w:t>
      </w:r>
      <w:r w:rsidR="007E5740">
        <w:rPr>
          <w:lang w:val="fr-BE"/>
        </w:rPr>
        <w:t>de Gas.be</w:t>
      </w:r>
      <w:r w:rsidR="00FD410F" w:rsidRPr="00D30542">
        <w:rPr>
          <w:lang w:val="fr-BE"/>
        </w:rPr>
        <w:t>.</w:t>
      </w: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Pr="004957D8" w:rsidRDefault="004957D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Pression de service maximale pour applications courantes</w:t>
      </w:r>
      <w:r w:rsidR="00CF5D03">
        <w:rPr>
          <w:highlight w:val="yellow"/>
          <w:vertAlign w:val="superscript"/>
          <w:lang w:val="fr-BE"/>
        </w:rPr>
        <w:t xml:space="preserve"> (voir tableaux d’utilisation)</w:t>
      </w:r>
      <w:r w:rsidR="001C49B8" w:rsidRPr="004957D8">
        <w:rPr>
          <w:highlight w:val="yellow"/>
          <w:vertAlign w:val="superscript"/>
          <w:lang w:val="fr-BE"/>
        </w:rPr>
        <w:t>:</w:t>
      </w:r>
    </w:p>
    <w:p w:rsidR="001C49B8" w:rsidRPr="005658B7" w:rsidRDefault="00BC453A" w:rsidP="001C49B8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>
        <w:rPr>
          <w:highlight w:val="yellow"/>
          <w:vertAlign w:val="superscript"/>
          <w:lang w:val="fr-BE"/>
        </w:rPr>
        <w:t>Gaz naturels, gaz liquéfiés</w:t>
      </w:r>
      <w:r w:rsidR="001C49B8" w:rsidRPr="005658B7">
        <w:rPr>
          <w:highlight w:val="yellow"/>
          <w:vertAlign w:val="superscript"/>
          <w:lang w:val="fr-BE"/>
        </w:rPr>
        <w:t xml:space="preserve">: </w:t>
      </w:r>
      <w:r w:rsidR="00CA4976">
        <w:rPr>
          <w:highlight w:val="yellow"/>
          <w:vertAlign w:val="superscript"/>
          <w:lang w:val="fr-BE"/>
        </w:rPr>
        <w:t>MOP5/GT1</w:t>
      </w:r>
      <w:bookmarkStart w:id="0" w:name="_GoBack"/>
      <w:bookmarkEnd w:id="0"/>
    </w:p>
    <w:p w:rsidR="001C49B8" w:rsidRPr="004957D8" w:rsidRDefault="004957D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Température de service pour applications courantes</w:t>
      </w:r>
      <w:r w:rsidR="00CF5D03">
        <w:rPr>
          <w:highlight w:val="yellow"/>
          <w:vertAlign w:val="superscript"/>
          <w:lang w:val="fr-BE"/>
        </w:rPr>
        <w:t xml:space="preserve"> (voir tableaux d’utilisation)</w:t>
      </w:r>
      <w:r w:rsidR="001C49B8" w:rsidRPr="004957D8">
        <w:rPr>
          <w:highlight w:val="yellow"/>
          <w:vertAlign w:val="superscript"/>
          <w:lang w:val="fr-BE"/>
        </w:rPr>
        <w:t>:</w:t>
      </w:r>
    </w:p>
    <w:p w:rsidR="001C49B8" w:rsidRPr="004957D8" w:rsidRDefault="00BC453A" w:rsidP="001C49B8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>
        <w:rPr>
          <w:highlight w:val="yellow"/>
          <w:vertAlign w:val="superscript"/>
          <w:lang w:val="fr-BE"/>
        </w:rPr>
        <w:t>Gaz naturels, gaz liquéfiés</w:t>
      </w:r>
      <w:r w:rsidR="001C49B8" w:rsidRPr="004957D8">
        <w:rPr>
          <w:highlight w:val="yellow"/>
          <w:vertAlign w:val="superscript"/>
          <w:lang w:val="fr-BE"/>
        </w:rPr>
        <w:t xml:space="preserve">: </w:t>
      </w:r>
      <w:r>
        <w:rPr>
          <w:highlight w:val="yellow"/>
          <w:vertAlign w:val="superscript"/>
          <w:lang w:val="fr-BE"/>
        </w:rPr>
        <w:t>-20</w:t>
      </w:r>
      <w:r w:rsidR="001C49B8" w:rsidRPr="004957D8">
        <w:rPr>
          <w:highlight w:val="yellow"/>
          <w:vertAlign w:val="superscript"/>
          <w:lang w:val="fr-BE"/>
        </w:rPr>
        <w:t xml:space="preserve">°C – </w:t>
      </w:r>
      <w:r>
        <w:rPr>
          <w:highlight w:val="yellow"/>
          <w:vertAlign w:val="superscript"/>
          <w:lang w:val="fr-BE"/>
        </w:rPr>
        <w:t>7</w:t>
      </w:r>
      <w:r w:rsidR="001C49B8" w:rsidRPr="004957D8">
        <w:rPr>
          <w:highlight w:val="yellow"/>
          <w:vertAlign w:val="superscript"/>
          <w:lang w:val="fr-BE"/>
        </w:rPr>
        <w:t>0°C</w:t>
      </w:r>
    </w:p>
    <w:p w:rsidR="00BC453A" w:rsidRPr="00B61DF1" w:rsidRDefault="00BC453A" w:rsidP="00BC453A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B61DF1">
        <w:rPr>
          <w:highlight w:val="yellow"/>
          <w:vertAlign w:val="superscript"/>
          <w:lang w:val="fr-BE"/>
        </w:rPr>
        <w:t>“la norme NBN D 51-003: Installations intérieures alimentées</w:t>
      </w:r>
      <w:r w:rsidR="00B61DF1" w:rsidRPr="00B61DF1">
        <w:rPr>
          <w:highlight w:val="yellow"/>
          <w:vertAlign w:val="superscript"/>
          <w:lang w:val="fr-BE"/>
        </w:rPr>
        <w:t xml:space="preserve"> en g</w:t>
      </w:r>
      <w:r w:rsidR="00B61DF1">
        <w:rPr>
          <w:highlight w:val="yellow"/>
          <w:vertAlign w:val="superscript"/>
          <w:lang w:val="fr-BE"/>
        </w:rPr>
        <w:t>az naturel</w:t>
      </w:r>
      <w:r w:rsidRPr="00B61DF1">
        <w:rPr>
          <w:highlight w:val="yellow"/>
          <w:vertAlign w:val="superscript"/>
          <w:lang w:val="fr-BE"/>
        </w:rPr>
        <w:t xml:space="preserve">”, “la norme NBN D-006: </w:t>
      </w:r>
      <w:r w:rsidR="00B61DF1" w:rsidRPr="00B61DF1">
        <w:rPr>
          <w:highlight w:val="yellow"/>
          <w:vertAlign w:val="superscript"/>
          <w:lang w:val="fr-BE"/>
        </w:rPr>
        <w:t xml:space="preserve">Installations intérieures alimentées en </w:t>
      </w:r>
      <w:r w:rsidR="00B61DF1">
        <w:rPr>
          <w:highlight w:val="yellow"/>
          <w:vertAlign w:val="superscript"/>
          <w:lang w:val="fr-BE"/>
        </w:rPr>
        <w:t>butane ou propane commercial en phase gazeuse</w:t>
      </w:r>
      <w:r w:rsidRPr="00B61DF1">
        <w:rPr>
          <w:highlight w:val="yellow"/>
          <w:vertAlign w:val="superscript"/>
          <w:lang w:val="fr-BE"/>
        </w:rPr>
        <w:t xml:space="preserve">”, </w:t>
      </w:r>
      <w:r w:rsidR="00B61DF1">
        <w:rPr>
          <w:highlight w:val="yellow"/>
          <w:vertAlign w:val="superscript"/>
          <w:lang w:val="fr-BE"/>
        </w:rPr>
        <w:t xml:space="preserve">les directives </w:t>
      </w:r>
      <w:r w:rsidRPr="00B61DF1">
        <w:rPr>
          <w:highlight w:val="yellow"/>
          <w:vertAlign w:val="superscript"/>
          <w:lang w:val="fr-BE"/>
        </w:rPr>
        <w:t xml:space="preserve">PED </w:t>
      </w:r>
      <w:r w:rsidR="00B61DF1">
        <w:rPr>
          <w:highlight w:val="yellow"/>
          <w:vertAlign w:val="superscript"/>
          <w:lang w:val="fr-BE"/>
        </w:rPr>
        <w:t>…</w:t>
      </w:r>
    </w:p>
    <w:p w:rsidR="001C49B8" w:rsidRPr="00B61DF1" w:rsidRDefault="001C49B8" w:rsidP="00BC453A">
      <w:pPr>
        <w:pStyle w:val="Bulleted2"/>
        <w:numPr>
          <w:ilvl w:val="0"/>
          <w:numId w:val="0"/>
        </w:numPr>
        <w:ind w:left="720" w:hanging="360"/>
        <w:rPr>
          <w:highlight w:val="yellow"/>
          <w:vertAlign w:val="superscript"/>
          <w:lang w:val="fr-BE"/>
        </w:rPr>
      </w:pPr>
    </w:p>
    <w:p w:rsidR="001C49B8" w:rsidRPr="00B61DF1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sectPr w:rsidR="001C49B8" w:rsidRPr="00B61DF1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0C2C" w:rsidRDefault="00660C2C">
      <w:r>
        <w:separator/>
      </w:r>
    </w:p>
  </w:endnote>
  <w:endnote w:type="continuationSeparator" w:id="0">
    <w:p w:rsidR="00660C2C" w:rsidRDefault="00660C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626" w:rsidRDefault="009D7626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</w:t>
          </w:r>
          <w:r w:rsidR="00B95456">
            <w:rPr>
              <w:rFonts w:cs="Arial"/>
            </w:rPr>
            <w:t>on</w:t>
          </w:r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B95456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626" w:rsidRDefault="009D762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0C2C" w:rsidRDefault="00660C2C">
      <w:r>
        <w:separator/>
      </w:r>
    </w:p>
  </w:footnote>
  <w:footnote w:type="continuationSeparator" w:id="0">
    <w:p w:rsidR="00660C2C" w:rsidRDefault="00660C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626" w:rsidRDefault="009D7626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r w:rsidRPr="00D06139">
      <w:rPr>
        <w:rFonts w:ascii="Arial" w:hAnsi="Arial" w:cs="Arial"/>
        <w:b/>
      </w:rPr>
      <w:t xml:space="preserve">Geberit </w:t>
    </w:r>
    <w:r w:rsidR="00886585">
      <w:rPr>
        <w:rFonts w:ascii="Arial" w:hAnsi="Arial" w:cs="Arial"/>
        <w:b/>
      </w:rPr>
      <w:t>M</w:t>
    </w:r>
    <w:r w:rsidR="005D1729">
      <w:rPr>
        <w:rFonts w:ascii="Arial" w:hAnsi="Arial" w:cs="Arial"/>
        <w:b/>
      </w:rPr>
      <w:t xml:space="preserve">apress </w:t>
    </w:r>
    <w:r w:rsidR="00A41BBB">
      <w:rPr>
        <w:rFonts w:ascii="Arial" w:hAnsi="Arial" w:cs="Arial"/>
        <w:b/>
      </w:rPr>
      <w:t>Cuivre</w:t>
    </w:r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626" w:rsidRDefault="009D7626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63673820"/>
    <w:multiLevelType w:val="hybridMultilevel"/>
    <w:tmpl w:val="338A9A66"/>
    <w:lvl w:ilvl="0" w:tplc="8626C73E">
      <w:start w:val="1"/>
      <w:numFmt w:val="decimal"/>
      <w:lvlText w:val="(%1)"/>
      <w:lvlJc w:val="left"/>
      <w:pPr>
        <w:tabs>
          <w:tab w:val="num" w:pos="1092"/>
        </w:tabs>
        <w:ind w:left="10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29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0"/>
  </w:num>
  <w:num w:numId="2">
    <w:abstractNumId w:val="27"/>
  </w:num>
  <w:num w:numId="3">
    <w:abstractNumId w:val="4"/>
  </w:num>
  <w:num w:numId="4">
    <w:abstractNumId w:val="3"/>
  </w:num>
  <w:num w:numId="5">
    <w:abstractNumId w:val="15"/>
  </w:num>
  <w:num w:numId="6">
    <w:abstractNumId w:val="17"/>
  </w:num>
  <w:num w:numId="7">
    <w:abstractNumId w:val="6"/>
  </w:num>
  <w:num w:numId="8">
    <w:abstractNumId w:val="24"/>
  </w:num>
  <w:num w:numId="9">
    <w:abstractNumId w:val="31"/>
  </w:num>
  <w:num w:numId="10">
    <w:abstractNumId w:val="2"/>
  </w:num>
  <w:num w:numId="11">
    <w:abstractNumId w:val="14"/>
  </w:num>
  <w:num w:numId="12">
    <w:abstractNumId w:val="13"/>
  </w:num>
  <w:num w:numId="13">
    <w:abstractNumId w:val="30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5"/>
  </w:num>
  <w:num w:numId="19">
    <w:abstractNumId w:val="26"/>
  </w:num>
  <w:num w:numId="20">
    <w:abstractNumId w:val="22"/>
  </w:num>
  <w:num w:numId="21">
    <w:abstractNumId w:val="21"/>
  </w:num>
  <w:num w:numId="22">
    <w:abstractNumId w:val="16"/>
  </w:num>
  <w:num w:numId="23">
    <w:abstractNumId w:val="29"/>
  </w:num>
  <w:num w:numId="24">
    <w:abstractNumId w:val="9"/>
  </w:num>
  <w:num w:numId="25">
    <w:abstractNumId w:val="10"/>
  </w:num>
  <w:num w:numId="26">
    <w:abstractNumId w:val="1"/>
  </w:num>
  <w:num w:numId="27">
    <w:abstractNumId w:val="18"/>
  </w:num>
  <w:num w:numId="28">
    <w:abstractNumId w:val="7"/>
  </w:num>
  <w:num w:numId="29">
    <w:abstractNumId w:val="23"/>
  </w:num>
  <w:num w:numId="30">
    <w:abstractNumId w:val="12"/>
  </w:num>
  <w:num w:numId="31">
    <w:abstractNumId w:val="28"/>
  </w:num>
  <w:num w:numId="32">
    <w:abstractNumId w:val="1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4E41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3A0C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49B8"/>
    <w:rsid w:val="001C502F"/>
    <w:rsid w:val="001C5873"/>
    <w:rsid w:val="001C76B6"/>
    <w:rsid w:val="001D4A54"/>
    <w:rsid w:val="001D79B0"/>
    <w:rsid w:val="001F0B2D"/>
    <w:rsid w:val="001F3DE7"/>
    <w:rsid w:val="001F71C1"/>
    <w:rsid w:val="001F7C8E"/>
    <w:rsid w:val="00206862"/>
    <w:rsid w:val="00216DB4"/>
    <w:rsid w:val="002229A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B3A39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47F70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C78B8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4CF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57D8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16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58B7"/>
    <w:rsid w:val="00567B63"/>
    <w:rsid w:val="00580A4E"/>
    <w:rsid w:val="00580E2C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0C2C"/>
    <w:rsid w:val="00664078"/>
    <w:rsid w:val="00670227"/>
    <w:rsid w:val="00670CC4"/>
    <w:rsid w:val="00684A21"/>
    <w:rsid w:val="0068597D"/>
    <w:rsid w:val="00685B7E"/>
    <w:rsid w:val="0068606C"/>
    <w:rsid w:val="0069129C"/>
    <w:rsid w:val="00694EDF"/>
    <w:rsid w:val="006A0B90"/>
    <w:rsid w:val="006A1059"/>
    <w:rsid w:val="006A60C0"/>
    <w:rsid w:val="006B3B48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1043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C2A7D"/>
    <w:rsid w:val="007C4DDA"/>
    <w:rsid w:val="007C60B3"/>
    <w:rsid w:val="007C7FFA"/>
    <w:rsid w:val="007D3795"/>
    <w:rsid w:val="007E03CF"/>
    <w:rsid w:val="007E0CBA"/>
    <w:rsid w:val="007E5740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86585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2C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D7626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1BBB"/>
    <w:rsid w:val="00A43303"/>
    <w:rsid w:val="00A44868"/>
    <w:rsid w:val="00A45E60"/>
    <w:rsid w:val="00A50286"/>
    <w:rsid w:val="00A52E7D"/>
    <w:rsid w:val="00A538E0"/>
    <w:rsid w:val="00A55C79"/>
    <w:rsid w:val="00A57FA2"/>
    <w:rsid w:val="00A63E7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A5855"/>
    <w:rsid w:val="00AB6EEB"/>
    <w:rsid w:val="00AC70B5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1DF1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5456"/>
    <w:rsid w:val="00BA062A"/>
    <w:rsid w:val="00BB5D16"/>
    <w:rsid w:val="00BC022E"/>
    <w:rsid w:val="00BC05F8"/>
    <w:rsid w:val="00BC2DA3"/>
    <w:rsid w:val="00BC453A"/>
    <w:rsid w:val="00BC4714"/>
    <w:rsid w:val="00BC4952"/>
    <w:rsid w:val="00BC68FC"/>
    <w:rsid w:val="00BC6BD7"/>
    <w:rsid w:val="00BC75A7"/>
    <w:rsid w:val="00BD4BC8"/>
    <w:rsid w:val="00BE0BB9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A1667"/>
    <w:rsid w:val="00CA4976"/>
    <w:rsid w:val="00CB0A4D"/>
    <w:rsid w:val="00CB0CF8"/>
    <w:rsid w:val="00CB6A05"/>
    <w:rsid w:val="00CB7793"/>
    <w:rsid w:val="00CD159B"/>
    <w:rsid w:val="00CD45AD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CF5D03"/>
    <w:rsid w:val="00D00737"/>
    <w:rsid w:val="00D06139"/>
    <w:rsid w:val="00D12DE4"/>
    <w:rsid w:val="00D147B6"/>
    <w:rsid w:val="00D176AB"/>
    <w:rsid w:val="00D20CBB"/>
    <w:rsid w:val="00D30542"/>
    <w:rsid w:val="00D3323A"/>
    <w:rsid w:val="00D34091"/>
    <w:rsid w:val="00D3791B"/>
    <w:rsid w:val="00D41906"/>
    <w:rsid w:val="00D43AAD"/>
    <w:rsid w:val="00D43B9F"/>
    <w:rsid w:val="00D4463B"/>
    <w:rsid w:val="00D4472F"/>
    <w:rsid w:val="00D463AD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2737"/>
    <w:rsid w:val="00FC4285"/>
    <w:rsid w:val="00FC72E5"/>
    <w:rsid w:val="00FD1BA5"/>
    <w:rsid w:val="00FD410F"/>
    <w:rsid w:val="00FD58B4"/>
    <w:rsid w:val="00FD6D33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E37A2A5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42BE3A72-FF6C-42A2-909D-BC48041900D8}"/>
</file>

<file path=customXml/itemProps2.xml><?xml version="1.0" encoding="utf-8"?>
<ds:datastoreItem xmlns:ds="http://schemas.openxmlformats.org/officeDocument/2006/customXml" ds:itemID="{B4522826-465B-42FE-AF10-AB6014EF01B2}"/>
</file>

<file path=customXml/itemProps3.xml><?xml version="1.0" encoding="utf-8"?>
<ds:datastoreItem xmlns:ds="http://schemas.openxmlformats.org/officeDocument/2006/customXml" ds:itemID="{41CB6095-3DA1-45FB-8DF9-0EFD13B56EA1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11</TotalTime>
  <Pages>3</Pages>
  <Words>552</Words>
  <Characters>3036</Characters>
  <Application>Microsoft Office Word</Application>
  <DocSecurity>0</DocSecurity>
  <Lines>25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3581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5</cp:revision>
  <cp:lastPrinted>2011-12-15T11:14:00Z</cp:lastPrinted>
  <dcterms:created xsi:type="dcterms:W3CDTF">2020-03-30T10:09:00Z</dcterms:created>
  <dcterms:modified xsi:type="dcterms:W3CDTF">2020-03-30T15:19:00Z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49600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