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79950-73E8-44EC-A87A-545409885FE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