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919E44-3861-49D3-A81D-C001CB37ACCF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