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0A97BC-3B79-4A95-9838-3581C87B9324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