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784D7F-5633-49DA-BCEC-881317BE3D5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