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EECD5D-C219-4A17-AD7E-6C263727A1E8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