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490CF-11BE-4B7D-A416-524051793C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