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8DA01E-BB9B-4676-AE07-626A1E0C040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