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C028588-36AD-4A80-8922-BC315D469BFC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