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992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5E29B7">
        <w:rPr>
          <w:lang w:val="fr-BE"/>
        </w:rPr>
        <w:t>zichtbare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 w:rsidR="005E29B7">
        <w:rPr>
          <w:lang w:val="fr-BE"/>
        </w:rPr>
        <w:t xml:space="preserve"> </w:t>
      </w:r>
      <w:proofErr w:type="spellStart"/>
      <w:r w:rsidR="005E29B7">
        <w:rPr>
          <w:lang w:val="fr-BE"/>
        </w:rPr>
        <w:t>boven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516892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CC2306" w:rsidRPr="00C1077D" w:rsidRDefault="00CC2306" w:rsidP="00CC2306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415AD5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5E29B7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415AD5" w:rsidRDefault="00415AD5" w:rsidP="002F1A08"/>
    <w:p w:rsidR="00415AD5" w:rsidRDefault="00415AD5" w:rsidP="002F1A08"/>
    <w:p w:rsidR="00415AD5" w:rsidRDefault="00415AD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CC2306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C453FD" wp14:editId="42D70952">
            <wp:extent cx="2463165" cy="327482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884" cy="328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415AD5">
      <w:rPr>
        <w:rFonts w:ascii="Arial" w:hAnsi="Arial" w:cs="Arial"/>
        <w:b/>
        <w:szCs w:val="24"/>
        <w:lang w:val="fr-BE"/>
      </w:rPr>
      <w:t xml:space="preserve">van </w:t>
    </w:r>
    <w:proofErr w:type="spellStart"/>
    <w:r w:rsidR="00415AD5">
      <w:rPr>
        <w:rFonts w:ascii="Arial" w:hAnsi="Arial" w:cs="Arial"/>
        <w:b/>
        <w:szCs w:val="24"/>
        <w:lang w:val="fr-BE"/>
      </w:rPr>
      <w:t>boven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CC230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</w:p>
  <w:p w:rsidR="00025544" w:rsidRPr="003E31F1" w:rsidRDefault="00CC230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kaar</w:t>
    </w:r>
    <w:r w:rsidR="00524B3F">
      <w:rPr>
        <w:rFonts w:ascii="Arial" w:hAnsi="Arial" w:cs="Arial"/>
        <w:b/>
        <w:szCs w:val="24"/>
        <w:lang w:val="fr-BE"/>
      </w:rPr>
      <w:t>s</w:t>
    </w:r>
    <w:proofErr w:type="spellEnd"/>
    <w:r w:rsidR="00524B3F">
      <w:rPr>
        <w:rFonts w:ascii="Arial" w:hAnsi="Arial" w:cs="Arial"/>
        <w:b/>
        <w:szCs w:val="24"/>
        <w:lang w:val="fr-BE"/>
      </w:rPr>
      <w:t xml:space="preserve"> met </w:t>
    </w:r>
    <w:proofErr w:type="spellStart"/>
    <w:r w:rsidR="00524B3F">
      <w:rPr>
        <w:rFonts w:ascii="Arial" w:hAnsi="Arial" w:cs="Arial"/>
        <w:b/>
        <w:szCs w:val="24"/>
        <w:lang w:val="fr-BE"/>
      </w:rPr>
      <w:t>keramisch</w:t>
    </w:r>
    <w:proofErr w:type="spellEnd"/>
    <w:r w:rsidR="00524B3F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524B3F">
      <w:rPr>
        <w:rFonts w:ascii="Arial" w:hAnsi="Arial" w:cs="Arial"/>
        <w:b/>
        <w:szCs w:val="24"/>
        <w:lang w:val="fr-BE"/>
      </w:rPr>
      <w:t>afvoerzeef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5AD5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16892"/>
    <w:rsid w:val="00523215"/>
    <w:rsid w:val="00524B3F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29B7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2306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80CBC3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B0A49FD-F9E2-480A-B038-0A1936C900AC}"/>
</file>

<file path=customXml/itemProps2.xml><?xml version="1.0" encoding="utf-8"?>
<ds:datastoreItem xmlns:ds="http://schemas.openxmlformats.org/officeDocument/2006/customXml" ds:itemID="{6C99E68F-4CE5-4CDA-914F-F87AC985A7D8}"/>
</file>

<file path=customXml/itemProps3.xml><?xml version="1.0" encoding="utf-8"?>
<ds:datastoreItem xmlns:ds="http://schemas.openxmlformats.org/officeDocument/2006/customXml" ds:itemID="{2293066B-DBDD-47E6-9229-DE86607C996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</TotalTime>
  <Pages>2</Pages>
  <Words>246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