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40667D1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 xml:space="preserve">p de voorzijde van de wastafel is een animatie voorzien in </w:t>
      </w:r>
      <w:r w:rsidR="00D107A0">
        <w:rPr>
          <w:rStyle w:val="normaltextrun"/>
          <w:color w:val="000000"/>
          <w:u w:val="none"/>
          <w:shd w:val="clear" w:color="auto" w:fill="FFFFFF"/>
        </w:rPr>
        <w:t>blauw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B6E1F56" w:rsidR="008A5169" w:rsidRDefault="00D107A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AB4FC7D" wp14:editId="3BB6E34D">
            <wp:extent cx="5977255" cy="287147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27AA3675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 xml:space="preserve">, met animatie </w:t>
    </w:r>
    <w:r w:rsidR="00D107A0">
      <w:rPr>
        <w:rFonts w:ascii="Arial" w:hAnsi="Arial" w:cs="Arial"/>
        <w:b/>
        <w:szCs w:val="24"/>
        <w:lang w:val="nl-BE"/>
      </w:rPr>
      <w:t>blauw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07A0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9DB981-8D0C-4FD1-8D6E-5D24BC6C457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222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