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CCDAB-4462-41E9-910F-F6B8DB20CEC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