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9D4801-EA11-4666-9700-BCF70BE3E064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