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4CFC65FE-4C7B-42D9-AD07-EA738D0AE5EC}"/>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