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7D18CD-B103-443D-B75A-5A40BCB00A2A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