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2CE6E3-F69B-4C3C-81D7-E5CB62DA2F62}"/>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