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34E6370-6D55-4BA1-9073-4DE7A6349E88}"/>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