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DB570C-9C78-4927-A3FE-4DEA487D1B1B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