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3A4DE0-0489-47E1-8495-506C3448CB60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