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4661F36C-F3D8-40EA-AB75-EE0136F66123}"/>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