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3651EAB-FC37-43F6-96EB-3DF715A0DE97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