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AF4F5-0E64-47A2-B966-42C23B3BB99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