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62BF2FA-CFB1-4408-A56B-97A728077A62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