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E05DF-DC2C-4922-AE7A-8B412AC2644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