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6A25DE1-9004-4A59-BE85-52913B2397ED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